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&lt;Письмо&gt;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РФ от 05.09.2011 N МД-1197/06 </w:t>
      </w:r>
    </w:p>
    <w:p w:rsidR="000E5D1A" w:rsidRP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"О Концепции профилактики употребления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веществ в образовательной среде"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5D1A">
        <w:rPr>
          <w:rFonts w:ascii="Times New Roman" w:hAnsi="Times New Roman" w:cs="Times New Roman"/>
          <w:sz w:val="24"/>
          <w:szCs w:val="24"/>
        </w:rPr>
        <w:t> 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0E5D1A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Письмо</w:t>
        </w:r>
      </w:hyperlink>
    </w:p>
    <w:p w:rsidR="000E5D1A" w:rsidRPr="000E5D1A" w:rsidRDefault="000E5D1A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Концепция профилактики употребления </w:t>
        </w:r>
        <w:proofErr w:type="spellStart"/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психоактивных</w:t>
        </w:r>
        <w:proofErr w:type="spellEnd"/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 веществ в образовательной среде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Введение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Основная часть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Цели, задачи и принципы профилактики употребления ПАВ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Структура организации профилактической деятельности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Технологии профилактики употребления ПАВ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Педагогическая профилактика как основной структурный и содержательный компонент системы профилактики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Оценка эффективности профилактики употребления ПАВ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Индикаторы профилактической деятельности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Заключение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Глоссарий</w:t>
        </w:r>
      </w:hyperlink>
    </w:p>
    <w:p w:rsidR="00C802E3" w:rsidRDefault="00C802E3" w:rsidP="00C802E3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психоактивных</w:t>
      </w:r>
      <w:proofErr w:type="spellEnd"/>
      <w:r>
        <w:rPr>
          <w:rFonts w:ascii="Arial" w:hAnsi="Arial" w:cs="Arial"/>
          <w:color w:val="4D4D4D"/>
          <w:sz w:val="27"/>
          <w:szCs w:val="27"/>
        </w:rPr>
        <w:t xml:space="preserve"> веществ в образовательной среде"</w:t>
      </w:r>
    </w:p>
    <w:p w:rsidR="00C802E3" w:rsidRDefault="00C802E3" w:rsidP="00C802E3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 октября 2011</w:t>
      </w:r>
    </w:p>
    <w:bookmarkStart w:id="0" w:name="0"/>
    <w:bookmarkEnd w:id="0"/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fldChar w:fldCharType="begin"/>
      </w:r>
      <w:r>
        <w:rPr>
          <w:rFonts w:ascii="Arial" w:hAnsi="Arial" w:cs="Arial"/>
          <w:color w:val="333333"/>
          <w:sz w:val="23"/>
          <w:szCs w:val="23"/>
        </w:rPr>
        <w:instrText xml:space="preserve"> HYPERLINK "https://www.garant.ru/products/ipo/prime/doc/12090282/" \l "12090282" </w:instrText>
      </w:r>
      <w:r>
        <w:rPr>
          <w:rFonts w:ascii="Arial" w:hAnsi="Arial" w:cs="Arial"/>
          <w:color w:val="333333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808080"/>
          <w:sz w:val="23"/>
          <w:szCs w:val="23"/>
          <w:bdr w:val="none" w:sz="0" w:space="0" w:color="auto" w:frame="1"/>
        </w:rPr>
        <w:t>Справка</w:t>
      </w:r>
      <w:r>
        <w:rPr>
          <w:rFonts w:ascii="Arial" w:hAnsi="Arial" w:cs="Arial"/>
          <w:color w:val="333333"/>
          <w:sz w:val="23"/>
          <w:szCs w:val="23"/>
        </w:rPr>
        <w:fldChar w:fldCharType="end"/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В соответствии со Стратегией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Концепцией осуществления государственной политики противодействия потреблению табака на 2010 - 2015 годы (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утверждена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распоряжением Правительства Российской Федерации от 23 сентября 2010 г. N 1563-р) Министерство образования и науки Российской Федерации: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направляет для использования в работе </w:t>
      </w:r>
      <w:hyperlink r:id="rId18" w:anchor="1000" w:history="1">
        <w:r>
          <w:rPr>
            <w:rStyle w:val="a3"/>
            <w:rFonts w:ascii="Arial" w:hAnsi="Arial" w:cs="Arial"/>
            <w:color w:val="808080"/>
            <w:sz w:val="23"/>
            <w:szCs w:val="23"/>
            <w:bdr w:val="none" w:sz="0" w:space="0" w:color="auto" w:frame="1"/>
          </w:rPr>
          <w:t>Концепцию</w:t>
        </w:r>
      </w:hyperlink>
      <w:r>
        <w:rPr>
          <w:rFonts w:ascii="Arial" w:hAnsi="Arial" w:cs="Arial"/>
          <w:color w:val="333333"/>
          <w:sz w:val="23"/>
          <w:szCs w:val="23"/>
        </w:rPr>
        <w:t xml:space="preserve"> 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(далее - Концепция);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в соответствии с </w:t>
      </w:r>
      <w:hyperlink r:id="rId19" w:anchor="1000" w:history="1">
        <w:r>
          <w:rPr>
            <w:rStyle w:val="a3"/>
            <w:rFonts w:ascii="Arial" w:hAnsi="Arial" w:cs="Arial"/>
            <w:color w:val="808080"/>
            <w:sz w:val="23"/>
            <w:szCs w:val="23"/>
            <w:bdr w:val="none" w:sz="0" w:space="0" w:color="auto" w:frame="1"/>
          </w:rPr>
          <w:t>Концепцией</w:t>
        </w:r>
      </w:hyperlink>
      <w:r>
        <w:rPr>
          <w:rFonts w:ascii="Arial" w:hAnsi="Arial" w:cs="Arial"/>
          <w:color w:val="333333"/>
          <w:sz w:val="23"/>
          <w:szCs w:val="23"/>
        </w:rPr>
        <w:t>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Приложение: на 23 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311"/>
      </w:tblGrid>
      <w:tr w:rsidR="00C802E3" w:rsidTr="00C802E3"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lastRenderedPageBreak/>
              <w:t>   </w:t>
            </w:r>
          </w:p>
        </w:tc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М.В. </w:t>
            </w:r>
            <w:proofErr w:type="spellStart"/>
            <w:r>
              <w:t>Дулинов</w:t>
            </w:r>
            <w:proofErr w:type="spellEnd"/>
          </w:p>
        </w:tc>
      </w:tr>
    </w:tbl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Концепция</w:t>
      </w:r>
      <w:r>
        <w:rPr>
          <w:rFonts w:ascii="Arial" w:hAnsi="Arial" w:cs="Arial"/>
          <w:color w:val="333333"/>
          <w:sz w:val="26"/>
          <w:szCs w:val="26"/>
        </w:rPr>
        <w:br/>
        <w:t xml:space="preserve">профилактики употребления 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психоактивных</w:t>
      </w:r>
      <w:proofErr w:type="spellEnd"/>
      <w:r>
        <w:rPr>
          <w:rFonts w:ascii="Arial" w:hAnsi="Arial" w:cs="Arial"/>
          <w:color w:val="333333"/>
          <w:sz w:val="26"/>
          <w:szCs w:val="26"/>
        </w:rPr>
        <w:t xml:space="preserve"> веществ в образовательной среде</w:t>
      </w:r>
      <w:r>
        <w:rPr>
          <w:rFonts w:ascii="Arial" w:hAnsi="Arial" w:cs="Arial"/>
          <w:color w:val="333333"/>
          <w:sz w:val="26"/>
          <w:szCs w:val="26"/>
        </w:rPr>
        <w:br/>
        <w:t>(утв. Министерством образования и науки РФ от 5 сентября 2011 г.)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Введение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Распространенность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45,6 % (12,3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млн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.ч</w:t>
      </w:r>
      <w:proofErr w:type="gramEnd"/>
      <w:r>
        <w:rPr>
          <w:rFonts w:ascii="Arial" w:hAnsi="Arial" w:cs="Arial"/>
          <w:color w:val="333333"/>
          <w:sz w:val="23"/>
          <w:szCs w:val="23"/>
        </w:rPr>
        <w:t>еловек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В соответствии со статьями 32 и 51 Закона Российской Федерации от 10 июля 1992 г. N 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>
        <w:rPr>
          <w:rFonts w:ascii="Arial" w:hAnsi="Arial" w:cs="Arial"/>
          <w:color w:val="333333"/>
          <w:sz w:val="23"/>
          <w:szCs w:val="23"/>
        </w:rPr>
        <w:t>), и в пределах своей компетенции осуществляющих индивидуальную профилактическую работу с такими несовершеннолетними.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</w:t>
      </w:r>
      <w:r>
        <w:rPr>
          <w:rFonts w:ascii="Arial" w:hAnsi="Arial" w:cs="Arial"/>
          <w:color w:val="333333"/>
          <w:sz w:val="23"/>
          <w:szCs w:val="23"/>
        </w:rPr>
        <w:lastRenderedPageBreak/>
        <w:t>методических оснований профилактической деятельности в соответствии с реалиями современного этапа развития общества.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Концепция профилактики злоупотребления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психоактивными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 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социокультурных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табакокурением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С одной стороны, профилактическая деятельность ориентируется на дальнейшее усиление и ужесточение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(далее - Концепция).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развивает и расширяет сферу задач, обозначенных в Концепции 2000 года, а именно: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поддерживает и совершенствует уже сложившуюся в образовательной среде инфраструктуру и механизмы реализации профилактики, определяя сферу задач и </w:t>
      </w:r>
      <w:r>
        <w:rPr>
          <w:rFonts w:ascii="Arial" w:hAnsi="Arial" w:cs="Arial"/>
          <w:color w:val="333333"/>
          <w:sz w:val="23"/>
          <w:szCs w:val="23"/>
        </w:rPr>
        <w:lastRenderedPageBreak/>
        <w:t>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выделяет единые критерии и индикаторы для оценки профилактической деятельности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Одновременно Концепция развивает основные положения Стратегии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</w:t>
      </w:r>
      <w:proofErr w:type="gramEnd"/>
      <w:r>
        <w:rPr>
          <w:rFonts w:ascii="Arial" w:hAnsi="Arial" w:cs="Arial"/>
          <w:color w:val="333333"/>
          <w:sz w:val="23"/>
          <w:szCs w:val="23"/>
        </w:rPr>
        <w:t>), а также Концепции осуществления государственной политики противодействия потреблению табака на 2010 - 2015 годы (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утверждена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распоряжением Правительства Российской Федерации от 23 сентября 2010 г. N 1563-р), в части профилактики наркомании, алкоголизма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табакокурения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России совместно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Рособрнадзором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дств пр</w:t>
      </w:r>
      <w:proofErr w:type="gramEnd"/>
      <w:r>
        <w:rPr>
          <w:rFonts w:ascii="Arial" w:hAnsi="Arial" w:cs="Arial"/>
          <w:color w:val="333333"/>
          <w:sz w:val="23"/>
          <w:szCs w:val="23"/>
        </w:rPr>
        <w:t>офилактической деятельности, выполняет определенные организационно-методическую и регламентирующую функции.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  <w:u w:val="single"/>
        </w:rPr>
        <w:t>Основная</w:t>
      </w:r>
      <w:r>
        <w:rPr>
          <w:rFonts w:ascii="Arial" w:hAnsi="Arial" w:cs="Arial"/>
          <w:color w:val="333333"/>
          <w:sz w:val="26"/>
          <w:szCs w:val="26"/>
        </w:rPr>
        <w:t> часть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Цели, задачи и принципы профилактики употребления ПАВ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</w:t>
      </w:r>
      <w:r>
        <w:rPr>
          <w:rFonts w:ascii="Arial" w:hAnsi="Arial" w:cs="Arial"/>
          <w:color w:val="333333"/>
          <w:sz w:val="23"/>
          <w:szCs w:val="23"/>
        </w:rPr>
        <w:lastRenderedPageBreak/>
        <w:t>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Задачами профилактики зависимости от ПАВ в образовательной среде являются: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ресурсов, обеспечивающих снижение риска употребления ПАВ среди обучающихся, воспитанников: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микросоциальном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уровне как влияние ближайшего окружения.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(досуговые учреждения, социально-психологические службы);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стрессоустойчивость и социально психологическая адаптивность; представление об аспектах употребления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Организация профилактической работы в образовательной среде осуществляется на основе следующих принципов.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межпрофессиональное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</w:t>
      </w:r>
      <w:proofErr w:type="gramEnd"/>
      <w:r>
        <w:rPr>
          <w:rFonts w:ascii="Arial" w:hAnsi="Arial" w:cs="Arial"/>
          <w:color w:val="333333"/>
          <w:sz w:val="23"/>
          <w:szCs w:val="23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методические подходы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и конкретные мероприятия,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Структура организации профилактической деятельности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качестве полноценного субъекта профилактики включаются общественные объединения и организации ("Родители против алкоголя и наркотиков", </w:t>
      </w:r>
      <w:r>
        <w:rPr>
          <w:rFonts w:ascii="Arial" w:hAnsi="Arial" w:cs="Arial"/>
          <w:color w:val="333333"/>
          <w:sz w:val="23"/>
          <w:szCs w:val="23"/>
        </w:rPr>
        <w:lastRenderedPageBreak/>
        <w:t>антиалкогольные и антинаркотические детско-молодежные движения волонтеров, общественные организации досуговой и трудовой занятости несовершеннолетних и др.).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(антинаркотическими комиссиями).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взаимодополнения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группы),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Оба структурных уровня тесно взаимосвязаны.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Технологии профилактики употребления ПАВ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Социальные технологии реализуют следующие направления воздействия: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Информационно-просветительское направление (антинаркотическая,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организационно-досуговое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lastRenderedPageBreak/>
        <w:t>Важное значение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психокоррекционный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тренинг.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Педагогическая профилактика как основной структурный и содержательный компонент системы профилактики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Основным структурным и содержательным компонентом системы профилактики употребления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</w:t>
      </w:r>
      <w:proofErr w:type="gramEnd"/>
      <w:r>
        <w:rPr>
          <w:rFonts w:ascii="Arial" w:hAnsi="Arial" w:cs="Arial"/>
          <w:color w:val="333333"/>
          <w:sz w:val="23"/>
          <w:szCs w:val="23"/>
        </w:rPr>
        <w:t>AB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</w:t>
      </w:r>
      <w:r>
        <w:rPr>
          <w:rFonts w:ascii="Arial" w:hAnsi="Arial" w:cs="Arial"/>
          <w:color w:val="333333"/>
          <w:sz w:val="23"/>
          <w:szCs w:val="23"/>
        </w:rPr>
        <w:lastRenderedPageBreak/>
        <w:t>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Выделяются два основных направления педагогической профилактики: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создание благоприятных условий для эффективной социальной адаптации.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Основой содержания педагогической профилактики является система представлений об употреблении ПАВ как многоаспектном социально-психологическом явлении, имеющем социокультурные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тренинговые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</w:t>
      </w:r>
      <w:proofErr w:type="gramEnd"/>
      <w:r>
        <w:rPr>
          <w:rFonts w:ascii="Arial" w:hAnsi="Arial" w:cs="Arial"/>
          <w:color w:val="333333"/>
          <w:sz w:val="23"/>
          <w:szCs w:val="23"/>
        </w:rPr>
        <w:t>AB, обуславливают необходимость организации их систематической подготовки к участию в превентивной деятельности.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тренинговых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Основными условиями организации педагогической профилактики являются: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безопасность: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ПАВ;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Оценка эффективности профилактики употребления ПАВ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диагностики - определение сферы и характера изменений, вызванных профилактическими воздействиями;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</w:t>
      </w:r>
      <w:proofErr w:type="gramEnd"/>
      <w:r>
        <w:rPr>
          <w:rFonts w:ascii="Arial" w:hAnsi="Arial" w:cs="Arial"/>
          <w:color w:val="333333"/>
          <w:sz w:val="23"/>
          <w:szCs w:val="23"/>
        </w:rPr>
        <w:t>AB несовершеннолетними для дальнейшего широкого и повсеместного внедрения в практику;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</w:t>
      </w:r>
      <w:r>
        <w:rPr>
          <w:rFonts w:ascii="Arial" w:hAnsi="Arial" w:cs="Arial"/>
          <w:color w:val="333333"/>
          <w:sz w:val="23"/>
          <w:szCs w:val="23"/>
        </w:rPr>
        <w:lastRenderedPageBreak/>
        <w:t>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изменения в динамике численности обучающихся, воспитанников, употребляющих ПАВ.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Индикаторы профилактической деятельности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Используются следующие основные направления формирования индикаторов.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сформированность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действенность единого профилактического пространства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скоординированность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  <w:proofErr w:type="gramEnd"/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деятельности),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Оценка эффективности может быть внутренней и внешней.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здоровьесберегающей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деятельности образовательного учреждения.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Заключение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здоровьесберегающую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Глоссарий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Образовательная среда - система факторов, обеспечивающих образование человека в конкретных социокультурных условиях.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никотиносодержащие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 и другие средства и вещества).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Употребление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- первичная проба, экспериментирование с приемом отдельных средств (наркотики, алкоголь,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никотиносодержащие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Профилактика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Наркотики - ПАВ, включенные в официальный список наркотических средств.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Группа риска злоупотребления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психоактивными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сомато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>-физических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экспериментирующие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 пробами алкогольсодержащих средств, наркотических веществ и различных ПАВ;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830"/>
      </w:tblGrid>
      <w:tr w:rsidR="00C802E3" w:rsidTr="00C802E3"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Заместитель</w:t>
            </w:r>
            <w:r>
              <w:br/>
              <w:t>Министра образования и</w:t>
            </w:r>
            <w:r>
              <w:br/>
              <w:t>науки Российской Федерации</w:t>
            </w:r>
          </w:p>
        </w:tc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М.В. </w:t>
            </w:r>
            <w:proofErr w:type="spellStart"/>
            <w:r>
              <w:t>Дулинов</w:t>
            </w:r>
            <w:proofErr w:type="spellEnd"/>
          </w:p>
        </w:tc>
      </w:tr>
    </w:tbl>
    <w:p w:rsidR="00340172" w:rsidRDefault="00340172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802E3" w:rsidRPr="000E5D1A" w:rsidRDefault="00C802E3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C802E3" w:rsidRPr="000E5D1A" w:rsidSect="000E5D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D09A3"/>
    <w:multiLevelType w:val="multilevel"/>
    <w:tmpl w:val="D7A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70"/>
    <w:rsid w:val="000E5D1A"/>
    <w:rsid w:val="00340172"/>
    <w:rsid w:val="00C802E3"/>
    <w:rsid w:val="00E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0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0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02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8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0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0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02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8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5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0299/cc7136f71f1b88634e6d56641713f951a7138420/" TargetMode="External"/><Relationship Id="rId13" Type="http://schemas.openxmlformats.org/officeDocument/2006/relationships/hyperlink" Target="http://www.consultant.ru/document/cons_doc_LAW_120299/9740944c04de742db186750e8af45cc78856e65a/" TargetMode="External"/><Relationship Id="rId18" Type="http://schemas.openxmlformats.org/officeDocument/2006/relationships/hyperlink" Target="https://www.garant.ru/products/ipo/prime/doc/12090282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120299/5983776ca09add311177f2a45621e71123ba4e0c/" TargetMode="External"/><Relationship Id="rId12" Type="http://schemas.openxmlformats.org/officeDocument/2006/relationships/hyperlink" Target="http://www.consultant.ru/document/cons_doc_LAW_120299/eab5f4229818b6439350e1b959e3c5e464255783/" TargetMode="External"/><Relationship Id="rId17" Type="http://schemas.openxmlformats.org/officeDocument/2006/relationships/hyperlink" Target="http://www.consultant.ru/document/cons_doc_LAW_120299/da449709d80c795f4e03bfe86fcc52d590a9e1e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0299/c2b7790d2453e742bde183a985f0a58f033bcd78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0299/96c60c11ee5b73882df84a7de3c4fb18f1a01961/" TargetMode="External"/><Relationship Id="rId11" Type="http://schemas.openxmlformats.org/officeDocument/2006/relationships/hyperlink" Target="http://www.consultant.ru/document/cons_doc_LAW_120299/2a9e32bce3bac481f12bd980c77ab302fbf92e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20299/7a646cae9ed5ee491f4526f6acb1115019c68632/" TargetMode="External"/><Relationship Id="rId10" Type="http://schemas.openxmlformats.org/officeDocument/2006/relationships/hyperlink" Target="http://www.consultant.ru/document/cons_doc_LAW_120299/5f1e43a2b23a878880481f57348ee037f65ab2ec/" TargetMode="External"/><Relationship Id="rId19" Type="http://schemas.openxmlformats.org/officeDocument/2006/relationships/hyperlink" Target="https://www.garant.ru/products/ipo/prime/doc/1209028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0299/a642b1e158d5df6735c4ec3d62588d6238cc7cb5/" TargetMode="External"/><Relationship Id="rId14" Type="http://schemas.openxmlformats.org/officeDocument/2006/relationships/hyperlink" Target="http://www.consultant.ru/document/cons_doc_LAW_120299/5f6a92943bb2fdc8dd793d3432957a25ca56e9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2020-10-24T07:46:00Z</dcterms:created>
  <dcterms:modified xsi:type="dcterms:W3CDTF">2020-10-24T07:46:00Z</dcterms:modified>
</cp:coreProperties>
</file>